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1. Глава муниципального образования: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2) подписывает и обнародует в порядке, установленном настоящим Уставом, нормативные правовые акты, принятые Советом народных депутатов муниципального образования;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3) издает в пределах своих полномочий правовые акты;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4) вправе требовать созыва внеочередного заседания Совета народных депутатов муниципального образования;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5) возглавляет Администрацию муниципального образования;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6) исполняет полномочия председателя Совета народных депутатов муниципального образования;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Адыгея;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 xml:space="preserve">8) представляет Совету народных депутатов муниципального образования ежегодные отчеты о результатах своей деятельности, о результатах деятельности </w:t>
      </w:r>
      <w:proofErr w:type="gramStart"/>
      <w:r>
        <w:rPr>
          <w:color w:val="535353"/>
          <w:sz w:val="28"/>
          <w:szCs w:val="28"/>
        </w:rPr>
        <w:t>администрации  муниципального</w:t>
      </w:r>
      <w:proofErr w:type="gramEnd"/>
      <w:r>
        <w:rPr>
          <w:color w:val="535353"/>
          <w:sz w:val="28"/>
          <w:szCs w:val="28"/>
        </w:rPr>
        <w:t xml:space="preserve"> образования и иных подведомственных ему органов местного самоуправления, в том числе о решении вопросов, поставленных Советом народных депутатов муниципального образования.</w:t>
      </w:r>
    </w:p>
    <w:p w:rsidR="00FE2F65" w:rsidRDefault="00FE2F65" w:rsidP="00FE2F65">
      <w:pPr>
        <w:pStyle w:val="a3"/>
        <w:shd w:val="clear" w:color="auto" w:fill="EDEDED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color w:val="535353"/>
          <w:sz w:val="28"/>
          <w:szCs w:val="28"/>
        </w:rPr>
        <w:t>9) осуществляет иные полномочия в соответствии с федеральным и республиканским законодательством, настоящим Уставом.</w:t>
      </w:r>
    </w:p>
    <w:p w:rsidR="00D101BF" w:rsidRDefault="00D101BF">
      <w:bookmarkStart w:id="0" w:name="_GoBack"/>
      <w:bookmarkEnd w:id="0"/>
    </w:p>
    <w:sectPr w:rsidR="00D1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8E"/>
    <w:rsid w:val="007C588E"/>
    <w:rsid w:val="00D101B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FF3C-210B-49DC-A5FB-640083C7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Владимер</cp:lastModifiedBy>
  <cp:revision>2</cp:revision>
  <dcterms:created xsi:type="dcterms:W3CDTF">2017-06-20T17:35:00Z</dcterms:created>
  <dcterms:modified xsi:type="dcterms:W3CDTF">2017-06-20T17:35:00Z</dcterms:modified>
</cp:coreProperties>
</file>